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>Mgr. Milena Míčová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 xml:space="preserve">Datum narození: 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 xml:space="preserve">Bydliště: 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 xml:space="preserve">PSČ : 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 xml:space="preserve">Telefon: 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left"/>
        <w:rPr/>
      </w:pPr>
      <w:r>
        <w:rPr/>
        <w:t xml:space="preserve">e-mail: 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/>
      </w:pPr>
      <w:r>
        <w:rPr>
          <w:rFonts w:cs="Calibri" w:cstheme="minorHAnsi"/>
          <w:b/>
          <w:bCs/>
          <w:sz w:val="24"/>
          <w:szCs w:val="24"/>
        </w:rPr>
        <w:t>Ministerstvo zdravotnictví ČR</w:t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Doc. MUDr. Jan Blatný, Ph.D.</w:t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Palackého náměstí 375/4</w:t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Praha 2 – Nové Město</w:t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128 01 Praha 28</w:t>
      </w:r>
    </w:p>
    <w:p>
      <w:pPr>
        <w:pStyle w:val="Normal"/>
        <w:widowControl/>
        <w:bidi w:val="0"/>
        <w:spacing w:lineRule="auto" w:line="259" w:before="0" w:after="0"/>
        <w:ind w:left="5102" w:right="0" w:hanging="0"/>
        <w:jc w:val="left"/>
        <w:rPr>
          <w:rStyle w:val="Strong"/>
          <w:rFonts w:cs="Calibri" w:cstheme="minorHAnsi"/>
          <w:b w:val="false"/>
          <w:b w:val="false"/>
          <w:bCs w:val="false"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mzcr@mzcr</w:t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r>
        <w:rPr>
          <w:rFonts w:cs="Calibri" w:cstheme="minorHAnsi"/>
          <w:b w:val="false"/>
          <w:bCs w:val="false"/>
          <w:color w:val="212529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r>
        <w:rPr>
          <w:rFonts w:cs="Calibri" w:cstheme="minorHAnsi"/>
          <w:b w:val="false"/>
          <w:bCs w:val="false"/>
          <w:color w:val="212529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r>
        <w:rPr>
          <w:rFonts w:cs="Calibri" w:cstheme="minorHAnsi"/>
          <w:b w:val="false"/>
          <w:bCs w:val="false"/>
          <w:color w:val="212529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highlight w:val="white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Věc: Žádost o poskytnutí informace podle zákona č. 106/1999 Sb. o svobodném přístupu k informacím ve znění pozdějších předpisů.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Vážený pane ministře,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Váš úřad uvažuje ve spolupráci s MŠMT o návratu žáků do škol po Velikonočních svátcích. Nástup žáků do škol má být podmíněn pravidelným testováním žáků i pracovníků ve školství. Podle oficiálních zdrojů se má jednat o testování tzv. antigenními testy, školské odbory však ústy Františka Dobšíka požadují dokonce PCR testy pro žáky.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Calibri" w:cstheme="minorHAnsi"/>
          <w:sz w:val="24"/>
          <w:szCs w:val="24"/>
        </w:rPr>
        <w:t>V souladu se zákonem č. 106/1999 Sb. o svobodném přístupu k informacím ve znění pozdějších předpisů Vás tedy žádám o poskytnutí: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>Informace o tom, jaký druh testovacích tyčinek má být používán k testování dětí a mládeže ve školách.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Informace o tom, zda testovací tyčinky zjišťují přímo SARS-COV-2, nebo koronaviry obecně.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Certifikát kvality testovacích tyčinek.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>Informace o výrobci testovacích tyčinek.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>Licenci výrobce testovacích tyčinek.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Výpis ze státního rejstříku výrobní firmy či společnosti, která testovací tyčinky vyrobila.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Dokumenty schválení a akreditace společnosti, která schvalování prováděla.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Platné firemní licence: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osvědčení o zkoušce testovaných tyčinek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nežádoucí účinky testovacích tyčinek</w:t>
      </w:r>
    </w:p>
    <w:p>
      <w:pPr>
        <w:pStyle w:val="ListParagraph"/>
        <w:numPr>
          <w:ilvl w:val="0"/>
          <w:numId w:val="2"/>
        </w:numPr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platnou pojistku firmy pro případ negativních následků, která testovací tyčinky vyráběla a výše případného odškodnění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Calibri" w:cstheme="minorHAnsi"/>
          <w:sz w:val="24"/>
          <w:szCs w:val="24"/>
        </w:rPr>
        <w:t>Informaci o tom, kolik roků byly dělány zkoušky testovacích tyčinek a s jakým výsledkem. Jaké měly testované osoby reakce a vedlejší účinky.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Povolení od Státního ústavu pro kontrolu léčiv, kterým je umožněno testování obyvatelstva ČR těmito testovacími tyčinkami.</w:t>
      </w:r>
    </w:p>
    <w:p>
      <w:pPr>
        <w:pStyle w:val="ListParagraph"/>
        <w:numPr>
          <w:ilvl w:val="0"/>
          <w:numId w:val="1"/>
        </w:numPr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Jedné vzorové testovací tyčinky, kterou odešlu do laboratoře na zkoušku.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Style w:val="Nowrap"/>
          <w:rFonts w:cs="Calibri" w:cstheme="minorHAnsi"/>
          <w:sz w:val="24"/>
          <w:szCs w:val="24"/>
        </w:rPr>
        <w:t>Poskytnuté informace mi prosím zašlete písemně na výše uvedenou doručovací adresu, a to v zákonné lhůtě do 15 dnů ode dne doručení tohoto dopisu.</w:t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jc w:val="both"/>
        <w:rPr/>
      </w:pPr>
      <w:r>
        <w:rPr>
          <w:rStyle w:val="Nowrap"/>
          <w:rFonts w:cs="Calibri" w:cstheme="minorHAnsi"/>
          <w:sz w:val="24"/>
          <w:szCs w:val="24"/>
        </w:rPr>
        <w:t>V Doubravici nad Svitavou dne 30. 3. 2021</w:t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jc w:val="right"/>
        <w:rPr/>
      </w:pPr>
      <w:r>
        <w:rPr>
          <w:rStyle w:val="Nowrap"/>
          <w:rFonts w:cs="Calibri" w:cstheme="minorHAnsi"/>
          <w:sz w:val="24"/>
          <w:szCs w:val="24"/>
        </w:rPr>
        <w:t>Mgr. Milena Míčová</w:t>
        <w:tab/>
        <w:tab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661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516615"/>
    <w:rPr>
      <w:color w:val="0000FF"/>
      <w:u w:val="single"/>
    </w:rPr>
  </w:style>
  <w:style w:type="character" w:styleId="Nowrap" w:customStyle="1">
    <w:name w:val="nowrap"/>
    <w:basedOn w:val="DefaultParagraphFont"/>
    <w:qFormat/>
    <w:rsid w:val="00cc750f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Calibri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Arial" w:hAnsi="Arial" w:eastAsia="Tahoma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ascii="Calibri" w:hAnsi="Calibri"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2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10263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Application>LibreOffice/5.3.6.1$Windows_x86 LibreOffice_project/686f202eff87ef707079aeb7f485847613344eb7</Application>
  <Pages>2</Pages>
  <Words>311</Words>
  <Characters>1778</Characters>
  <CharactersWithSpaces>2051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2021-03-28T08:19:00Z</dcterms:created>
  <dc:creator>Pavel Míča</dc:creator>
  <dc:description/>
  <dc:language>cs-CZ</dc:language>
  <cp:lastModifiedBy/>
  <dcterms:modified xsi:type="dcterms:W3CDTF">2021-04-02T01:33:41Z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